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ПОГОДЖЕНО</w:t>
            </w:r>
          </w:p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 ____ від ___________),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________________№ ______ </w:t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 Борис САМОРОДОВ</w:t>
            </w:r>
          </w:p>
          <w:p w:rsidR="00000000" w:rsidDel="00000000" w:rsidP="00000000" w:rsidRDefault="00000000" w:rsidRPr="00000000" w14:paraId="00000015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«</w:t>
      </w:r>
      <w:r w:rsidDel="00000000" w:rsidR="00000000" w:rsidRPr="00000000">
        <w:rPr>
          <w:b w:val="1"/>
          <w:bCs w:val="1"/>
          <w:color w:val="222222"/>
          <w:rtl w:val="0"/>
        </w:rPr>
        <w:t xml:space="preserve">Стійке викладання</w:t>
      </w:r>
      <w:r w:rsidDel="00000000" w:rsidR="00000000" w:rsidRPr="00000000">
        <w:rPr>
          <w:b w:val="1"/>
          <w:bCs w:val="1"/>
          <w:rtl w:val="0"/>
        </w:rPr>
        <w:t xml:space="preserve">»</w:t>
      </w:r>
    </w:p>
    <w:p w:rsidR="00000000" w:rsidDel="00000000" w:rsidP="00000000" w:rsidRDefault="00000000" w:rsidRPr="00000000" w14:paraId="0000001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Харків 2026</w:t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ПЕРЕДМОВА</w:t>
      </w:r>
    </w:p>
    <w:p w:rsidR="00000000" w:rsidDel="00000000" w:rsidP="00000000" w:rsidRDefault="00000000" w:rsidRPr="00000000" w14:paraId="0000003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firstLine="567"/>
        <w:rPr>
          <w:color w:val="000000"/>
        </w:rPr>
      </w:pPr>
      <w:r w:rsidDel="00000000" w:rsidR="00000000" w:rsidRPr="00000000">
        <w:rPr>
          <w:rtl w:val="0"/>
        </w:rPr>
        <w:t xml:space="preserve">Сертифікатна освітня програма </w:t>
      </w:r>
      <w:r w:rsidDel="00000000" w:rsidR="00000000" w:rsidRPr="00000000">
        <w:rPr>
          <w:b w:val="1"/>
          <w:bCs w:val="1"/>
          <w:rtl w:val="0"/>
        </w:rPr>
        <w:t xml:space="preserve">«</w:t>
      </w:r>
      <w:r w:rsidDel="00000000" w:rsidR="00000000" w:rsidRPr="00000000">
        <w:rPr>
          <w:b w:val="1"/>
          <w:bCs w:val="1"/>
          <w:color w:val="222222"/>
          <w:rtl w:val="0"/>
        </w:rPr>
        <w:t xml:space="preserve">Стійке викладання</w:t>
      </w:r>
      <w:r w:rsidDel="00000000" w:rsidR="00000000" w:rsidRPr="00000000">
        <w:rPr>
          <w:b w:val="1"/>
          <w:bCs w:val="1"/>
          <w:rtl w:val="0"/>
        </w:rPr>
        <w:t xml:space="preserve">»</w:t>
      </w:r>
      <w:r w:rsidDel="00000000" w:rsidR="00000000" w:rsidRPr="00000000">
        <w:rPr>
          <w:rtl w:val="0"/>
        </w:rPr>
        <w:t xml:space="preserve"> розроблена: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567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Розробники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програми:</w:t>
      </w:r>
    </w:p>
    <w:p w:rsidR="00000000" w:rsidDel="00000000" w:rsidP="00000000" w:rsidRDefault="00000000" w:rsidRPr="00000000" w14:paraId="00000037">
      <w:pPr>
        <w:widowControl w:val="1"/>
        <w:ind w:firstLine="720"/>
        <w:rPr/>
      </w:pPr>
      <w:r w:rsidDel="00000000" w:rsidR="00000000" w:rsidRPr="00000000">
        <w:rPr>
          <w:rtl w:val="0"/>
        </w:rPr>
        <w:t xml:space="preserve">Ольга ВИГОВСЬКА, кандидат політичних наук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/>
      </w:pPr>
      <w:r w:rsidDel="00000000" w:rsidR="00000000" w:rsidRPr="00000000">
        <w:rPr>
          <w:rtl w:val="0"/>
        </w:rPr>
        <w:t xml:space="preserve">Тетяна ДАЦЕНКО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кандидат </w:t>
      </w:r>
      <w:r w:rsidDel="00000000" w:rsidR="00000000" w:rsidRPr="00000000">
        <w:rPr>
          <w:rtl w:val="0"/>
        </w:rPr>
        <w:t xml:space="preserve">психологічних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наук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/>
      </w:pPr>
      <w:r w:rsidDel="00000000" w:rsidR="00000000" w:rsidRPr="00000000">
        <w:rPr>
          <w:rtl w:val="0"/>
        </w:rPr>
        <w:t xml:space="preserve">Тетяна ГОЛОВАТЕНКО, доктор філософії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/>
        <w:sectPr>
          <w:headerReference r:id="rId7" w:type="default"/>
          <w:headerReference r:id="rId8" w:type="even"/>
          <w:footerReference r:id="rId9" w:type="default"/>
          <w:footerReference r:id="rId10" w:type="even"/>
          <w:pgSz w:h="16834" w:w="11909" w:orient="portrait"/>
          <w:pgMar w:bottom="850" w:top="850" w:left="1417" w:right="850" w:header="543" w:footer="6"/>
          <w:pgNumType w:start="1"/>
          <w:titlePg w:val="1"/>
        </w:sectPr>
      </w:pPr>
      <w:r w:rsidDel="00000000" w:rsidR="00000000" w:rsidRPr="00000000">
        <w:rPr>
          <w:rtl w:val="0"/>
        </w:rPr>
        <w:t xml:space="preserve">Розроблено у межах проєкту </w:t>
      </w:r>
      <w:r w:rsidDel="00000000" w:rsidR="00000000" w:rsidRPr="00000000">
        <w:rPr>
          <w:color w:val="222222"/>
          <w:rtl w:val="0"/>
        </w:rPr>
        <w:t xml:space="preserve">Erasmus+ CBHE Strand 2 SAFE LEARN “Supporting Adaptive and Flexible Education for War-Affected Students in Ukraine” — Підтримка адаптивної та гнучкої освіти для студентів, які постраждали від війни в Україні (жовтень 2025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color w:val="222222"/>
          <w:rtl w:val="0"/>
        </w:rPr>
        <w:t xml:space="preserve">вересень 2028)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120" w:before="0" w:line="240" w:lineRule="auto"/>
        <w:ind w:left="720" w:right="0" w:hanging="36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 СЕРТИФІКАТНОЇ ОСВІТНЬОЇ ПРОГРАМИ</w:t>
      </w:r>
    </w:p>
    <w:tbl>
      <w:tblPr>
        <w:tblStyle w:val="Table2"/>
        <w:tblW w:w="9465.0" w:type="dxa"/>
        <w:jc w:val="left"/>
        <w:tblInd w:w="-2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0"/>
        <w:gridCol w:w="1455"/>
        <w:gridCol w:w="4620"/>
        <w:tblGridChange w:id="0">
          <w:tblGrid>
            <w:gridCol w:w="3390"/>
            <w:gridCol w:w="1455"/>
            <w:gridCol w:w="462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«</w:t>
            </w:r>
            <w:r w:rsidDel="00000000" w:rsidR="00000000" w:rsidRPr="00000000">
              <w:rPr>
                <w:b w:val="1"/>
                <w:bCs w:val="1"/>
                <w:color w:val="222222"/>
                <w:rtl w:val="0"/>
              </w:rPr>
              <w:t xml:space="preserve">Стійке викладання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Кафедра інноваційної педагогіки, освітніх трансформацій і лідерства, ННІ «Академія вчительства»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 кредити ЄКТС (90 год) </w:t>
            </w:r>
            <w:r w:rsidDel="00000000" w:rsidR="00000000" w:rsidRPr="00000000">
              <w:rPr>
                <w:color w:val="222222"/>
                <w:rtl w:val="0"/>
              </w:rPr>
              <w:t xml:space="preserve">—</w:t>
            </w:r>
            <w:r w:rsidDel="00000000" w:rsidR="00000000" w:rsidRPr="00000000">
              <w:rPr>
                <w:rtl w:val="0"/>
              </w:rPr>
              <w:t xml:space="preserve"> з урахуванням самостійної (позааудиторної) роботи та складання сертифікаційного тесту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Мова(и) викладання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Передумови навчання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Диплом магістра (7 рівень РНК) або вище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20 до 30 осіб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5">
            <w:pPr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Онлайн-навчання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teachers.karazin.ua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Метою</w:t>
            </w:r>
            <w:r w:rsidDel="00000000" w:rsidR="00000000" w:rsidRPr="00000000">
              <w:rPr>
                <w:rtl w:val="0"/>
              </w:rPr>
              <w:t xml:space="preserve"> програми є формування у викладачів стійких професійних і психологічних компетентностей для ефективного навчання в умовах невизначеності та криз.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60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Компетентності, що вдосконалюються/ набуваються</w:t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(із урахуванням Національної рамки кваліфікацій; </w:t>
            </w:r>
            <w:r w:rsidDel="00000000" w:rsidR="00000000" w:rsidRPr="00000000">
              <w:rPr>
                <w:color w:val="1d1d1d"/>
                <w:rtl w:val="0"/>
              </w:rPr>
              <w:t xml:space="preserve">професійного стандарту «Викладач закладу вищої освіти»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6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Професійні компетентності (ФК)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 1.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планувати і проводити навчальні заняття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Б 3.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надавати зворотній зв’язок здобувачам ВО за результатами оцінювання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 2.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розробляти та удосконалювати навчально-методичні матеріали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Д 2.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виконувати проєкт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Ж 1.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організовувати особистий професійний розвиток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 2.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Здатність брати участь у процесах розвитку/ врядування ЗВО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7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знання, уміння/навички</w:t>
            </w:r>
          </w:p>
          <w:p w:rsidR="00000000" w:rsidDel="00000000" w:rsidP="00000000" w:rsidRDefault="00000000" w:rsidRPr="00000000" w14:paraId="00000077">
            <w:pPr>
              <w:spacing w:after="20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РН.1.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Розуміє основи психологічної стійкості та застосовує стратегії самоменеджменту в умовах кризи та невизначеності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РН.2.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Застосовує практичні інструменти емоційної саморегуляції: методи зниження стресу, профілактики професійного вигорання тощо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РН.3.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Уміє використовувати цифрові інструменти для організації інтерактивного, студентоцентрованого та гнучкого освітнього процесу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РН.4.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Здатний/-а розробляти модулі мікронавчання з урахуванням обмежених ресурсів, нестабільних умов та потреб студентів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РН.5.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Використовує інноваційні методи активного навчання для підвищення залученості та мотивації студентів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РН.6.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Інтегрує принципи травмочутливого підходу у створення безпечного та підтримувального освітнього середовища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РН.7.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Адаптує освітні методи до кризових і надзвичайних умов, забезпечуючи безперервність та якість освіти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8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Особливості програми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Педагогічні та науково-педагогічні працівники закладів вищої освіти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Потенційні стейкголдери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Програма передбачає можливість подальшого розширення та поглиблення фахових знань, умінь, навичок шляхом самоосвітньої діяльності та участі в інших програмах підвищення кваліфікації.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Інше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color w:val="222222"/>
                <w:rtl w:val="0"/>
              </w:rPr>
              <w:t xml:space="preserve">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9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Додаткові послуги (якщо такі передбачаються), вартість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A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Не передбачено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/>
      </w:pPr>
      <w:bookmarkStart w:colFirst="0" w:colLast="0" w:name="_heading=h.d2e8rz7rlrn3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42" w:right="0" w:hanging="10.999999999999996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НАВЧАЛЬНИЙ (НАВЧАЛЬНО-ТЕМАТИЧНИЙ) ПЛАН</w:t>
      </w:r>
    </w:p>
    <w:tbl>
      <w:tblPr>
        <w:tblStyle w:val="Table3"/>
        <w:tblW w:w="9435.0" w:type="dxa"/>
        <w:jc w:val="left"/>
        <w:tblInd w:w="-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35"/>
        <w:gridCol w:w="1200"/>
        <w:gridCol w:w="1230"/>
        <w:gridCol w:w="1350"/>
        <w:gridCol w:w="1050"/>
        <w:gridCol w:w="870"/>
        <w:tblGridChange w:id="0">
          <w:tblGrid>
            <w:gridCol w:w="3735"/>
            <w:gridCol w:w="1200"/>
            <w:gridCol w:w="1230"/>
            <w:gridCol w:w="1350"/>
            <w:gridCol w:w="1050"/>
            <w:gridCol w:w="870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Компоненти програми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Загальна кількість годин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Аудиторна робота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Самостійна</w:t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робота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Підсумковий контроль</w:t>
            </w:r>
          </w:p>
        </w:tc>
      </w:tr>
      <w:tr>
        <w:trPr>
          <w:cantSplit w:val="1"/>
          <w:trHeight w:val="17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Лекція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Практична</w:t>
            </w:r>
          </w:p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робота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Тема 1.  Психологічна стійкість викладача: методи самоврядування в часи кризи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Тема 2. Використання цифрових інструментів для організації</w:t>
            </w:r>
          </w:p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інтерактивного та ефективного освітнього процесу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jc w:val="left"/>
              <w:rPr>
                <w:color w:val="1d2125"/>
              </w:rPr>
            </w:pPr>
            <w:r w:rsidDel="00000000" w:rsidR="00000000" w:rsidRPr="00000000">
              <w:rPr>
                <w:rtl w:val="0"/>
              </w:rPr>
              <w:t xml:space="preserve">Тема 3. </w:t>
            </w:r>
            <w:r w:rsidDel="00000000" w:rsidR="00000000" w:rsidRPr="00000000">
              <w:rPr>
                <w:color w:val="1d2125"/>
                <w:rtl w:val="0"/>
              </w:rPr>
              <w:t xml:space="preserve">Інноваційні методи навчання в екстремальних умовах: мікронавчання в часи невизначеності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8.9453125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Тема 4. Освітня квест-кімната: вирішення кризових завдань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8.9453125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Тема 5. Принципи травма-інформованого підходу у створенні безпечного навчального середовища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8.9453125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Сертифікаційний тест</w:t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сього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DF">
      <w:pPr>
        <w:widowControl w:val="1"/>
        <w:spacing w:after="160" w:line="259" w:lineRule="auto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1"/>
        <w:spacing w:after="160" w:line="259" w:lineRule="auto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widowControl w:val="1"/>
        <w:spacing w:after="160" w:line="259" w:lineRule="auto"/>
        <w:jc w:val="center"/>
        <w:rPr>
          <w:rFonts w:ascii="Times New Roman" w:cs="Times New Roman" w:eastAsia="Times New Roman" w:hAnsi="Times New Roman"/>
          <w:i w:val="0"/>
          <w:iCs w:val="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3. ЗМІСТ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Style w:val="Heading2"/>
        <w:keepNext w:val="0"/>
        <w:widowControl w:val="1"/>
        <w:spacing w:after="0" w:before="360" w:line="259" w:lineRule="auto"/>
        <w:ind w:firstLine="720"/>
        <w:rPr>
          <w:rFonts w:ascii="Times New Roman" w:cs="Times New Roman" w:eastAsia="Times New Roman" w:hAnsi="Times New Roman"/>
          <w:b w:val="0"/>
          <w:bCs w:val="0"/>
          <w:sz w:val="28"/>
          <w:szCs w:val="28"/>
        </w:rPr>
      </w:pPr>
      <w:bookmarkStart w:colFirst="0" w:colLast="0" w:name="_heading=h.ml7rcpe3cqpe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  <w:rtl w:val="0"/>
        </w:rPr>
        <w:t xml:space="preserve">Тема 1.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rtl w:val="0"/>
        </w:rPr>
        <w:t xml:space="preserve">Психологічна стійкість викладача: методи самоврядування в часи кризи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widowControl w:val="1"/>
        <w:spacing w:after="240" w:before="240" w:line="259" w:lineRule="auto"/>
        <w:ind w:firstLine="72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Поняття психологічної стійкості та резильєнтності педагогів в умовах криз і невизначеності. Основи стресостійкості, емоційної саморегуляції та самоменеджменту. Методи профілактики професійного вигорання та подолання стресових і посттравматичних реакцій. Практики підтримання психологічного благополуччя в освітньому процесі. Дихальні вправи, арттерапевтичні техніки та ресурсні стратегії збереження психологічної рівноваги. Модель розвитку резильєнтності BASIC Ph. Роль професійної взаємопідтримки у формуванні психологічної стійкості педагогів.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Style w:val="Heading3"/>
        <w:spacing w:after="80" w:before="280" w:line="259" w:lineRule="auto"/>
        <w:ind w:firstLine="72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</w:rPr>
      </w:pPr>
      <w:bookmarkStart w:colFirst="0" w:colLast="0" w:name="_heading=h.hohwyz5aeltf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  <w:rtl w:val="0"/>
        </w:rPr>
        <w:t xml:space="preserve">Тема 2. Використання цифрових інструментів для організації інтерактивного та ефективного освітнього процесу</w:t>
      </w:r>
    </w:p>
    <w:p w:rsidR="00000000" w:rsidDel="00000000" w:rsidP="00000000" w:rsidRDefault="00000000" w:rsidRPr="00000000" w14:paraId="000000E5">
      <w:pPr>
        <w:widowControl w:val="1"/>
        <w:spacing w:after="240" w:before="240" w:line="259" w:lineRule="auto"/>
        <w:ind w:firstLine="72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Інтеграція цифрових інструментів та технологій штучного інтелекту в освітній процес закладів вищої освіти. Використання інтерактивних, адаптивних і студентоцентрованих підходів до навчання. Цифрові платформи та інструменти для організації взаємодії, співпраці й оперативного зворотного зв’язку зі студентами. Використання штучного інтелекту для створення вправ, візуального контенту, мікрозавдань і персоналізованого зворотного зв’язку. Застосування цифрових технологій для оптимізації підготовки викладача та економії часу. Використання цифрових інструментів для підтримки гнучкого, інклюзивного та травмочутливого навчання в умовах нестабільності та обмежених ресурсів.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Style w:val="Heading3"/>
        <w:spacing w:after="80" w:before="280" w:line="259" w:lineRule="auto"/>
        <w:ind w:firstLine="72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</w:rPr>
      </w:pPr>
      <w:bookmarkStart w:colFirst="0" w:colLast="0" w:name="_heading=h.rw5bxc7b3jbe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  <w:rtl w:val="0"/>
        </w:rPr>
        <w:t xml:space="preserve">Тема 3.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color w:val="1d2125"/>
          <w:sz w:val="28"/>
          <w:szCs w:val="28"/>
          <w:rtl w:val="0"/>
        </w:rPr>
        <w:t xml:space="preserve">Інноваційні методи навчання в екстремальних умовах: мікронавчання в часи невизначеності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widowControl w:val="1"/>
        <w:spacing w:after="240" w:before="240" w:line="259" w:lineRule="auto"/>
        <w:ind w:firstLine="72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Практичні підходи до впровадження мікронавчання як гнучкої та ефективної освітньої стратегії в умовах нестабільності та постійних змін. Принципи організації коротких навчальних модулів (bite-sized learning) та структурування циклів мікронавчання. Використання цифрових інструментів і технологій штучного інтелекту для підготовки навчальних матеріалів та забезпечення зворотного зв’язку. Адаптація змісту, темпу та комунікації до потреб студентів і викладачів в умовах стресу та невизначеності. Травмочутливий підхід у мікронавчанні. Практики забезпечення безперервності навчання в умовах обмежених ресурсів, переміщення та кризових ситуацій. Розроблення власних мікрозанять з урахуванням сучасних викликів і потреб освітнього процесу.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Style w:val="Heading3"/>
        <w:spacing w:after="80" w:before="280" w:line="259" w:lineRule="auto"/>
        <w:ind w:firstLine="72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</w:rPr>
      </w:pPr>
      <w:bookmarkStart w:colFirst="0" w:colLast="0" w:name="_heading=h.21sud2lkj2rw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8"/>
          <w:szCs w:val="28"/>
          <w:rtl w:val="0"/>
        </w:rPr>
        <w:t xml:space="preserve">Тема 4. Освітня квест-кімната: вирішення кризових завдань</w:t>
      </w:r>
    </w:p>
    <w:p w:rsidR="00000000" w:rsidDel="00000000" w:rsidP="00000000" w:rsidRDefault="00000000" w:rsidRPr="00000000" w14:paraId="000000E9">
      <w:pPr>
        <w:widowControl w:val="1"/>
        <w:spacing w:after="240" w:before="240" w:line="259" w:lineRule="auto"/>
        <w:ind w:firstLine="720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Інноваційні підходи до використання моделювання escape room як інструменту активного навчання у закладах освіти. Використання інтерактивних методів для підвищення залученості студентів та поглиблення засвоєння навчального матеріалу. Розвиток професійної стійкості педагогів через застосування творчих, гнучких і стратегічних підходів до організації навчання. Формування навичок управління непередбачуваними ситуаціями та фасилітації командної взаємодії. Практичне опрацювання педагогічних кризових ситуацій у форматі escape room. Використання ігрових та проблемно-орієнтованих методів для профілактики професійного вигорання та підтримки психоемоційної стійкості викладачів. Розвиток педагогічної ефективності через інтеграцію активних методів навчання в освітній процес.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ind w:firstLine="720"/>
        <w:jc w:val="left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Тема 5. Принципи травма-інформованого підходу у створенні безпечного навчального середовища</w:t>
      </w:r>
    </w:p>
    <w:p w:rsidR="00000000" w:rsidDel="00000000" w:rsidP="00000000" w:rsidRDefault="00000000" w:rsidRPr="00000000" w14:paraId="000000E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ind w:firstLine="720"/>
        <w:rPr/>
      </w:pPr>
      <w:r w:rsidDel="00000000" w:rsidR="00000000" w:rsidRPr="00000000">
        <w:rPr>
          <w:rtl w:val="0"/>
        </w:rPr>
        <w:t xml:space="preserve">Основи травма-інформованого підходу в освітньому процесі. Шість ключових принципів травма-інформованого середовища: безпека, довіра та прозорість, взаємопідтримка, співпраця і партнерство, розширення можливостей, голос і вибір, урахування культурних, історичних та гендерних особливостей. Практичні підходи до впровадження принципів травма-інформованого навчання в роботі зі студентами. Розроблення стратегій створення безпечного та підтримувального освітнього середовища. Обмін професійним досвідом щодо застосування травма-інформованих практик та спільне вирішення актуальних викликів освітнього процесу.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ind w:firstLine="567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 ФОРМИ ТА ПОРЯДОК ПРОВЕДЕННЯ ПІДСУМКОВОГО КОНТРОЛЮ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Завершальним етапом навчання за </w:t>
      </w:r>
      <w:r w:rsidDel="00000000" w:rsidR="00000000" w:rsidRPr="00000000">
        <w:rPr>
          <w:rtl w:val="0"/>
        </w:rPr>
        <w:t xml:space="preserve">програмою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«</w:t>
      </w:r>
      <w:r w:rsidDel="00000000" w:rsidR="00000000" w:rsidRPr="00000000">
        <w:rPr>
          <w:b w:val="1"/>
          <w:bCs w:val="1"/>
          <w:color w:val="222222"/>
          <w:rtl w:val="0"/>
        </w:rPr>
        <w:t xml:space="preserve">Стійке викладання</w:t>
      </w:r>
      <w:r w:rsidDel="00000000" w:rsidR="00000000" w:rsidRPr="00000000">
        <w:rPr>
          <w:b w:val="1"/>
          <w:bCs w:val="1"/>
          <w:rtl w:val="0"/>
        </w:rPr>
        <w:t xml:space="preserve">»</w:t>
      </w:r>
      <w:r w:rsidDel="00000000" w:rsidR="00000000" w:rsidRPr="00000000">
        <w:rPr>
          <w:rtl w:val="0"/>
        </w:rPr>
        <w:t xml:space="preserve"> є сертифікаційний тест.</w:t>
      </w:r>
    </w:p>
    <w:p w:rsidR="00000000" w:rsidDel="00000000" w:rsidP="00000000" w:rsidRDefault="00000000" w:rsidRPr="00000000" w14:paraId="000000F0">
      <w:pPr>
        <w:ind w:firstLine="567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Список рекомендованої літератури</w:t>
      </w:r>
    </w:p>
    <w:p w:rsidR="00000000" w:rsidDel="00000000" w:rsidP="00000000" w:rsidRDefault="00000000" w:rsidRPr="00000000" w14:paraId="000000F3">
      <w:pPr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spacing w:after="0" w:line="276" w:lineRule="auto"/>
        <w:ind w:left="720" w:hanging="360"/>
        <w:rPr>
          <w:color w:val="1d2125"/>
        </w:rPr>
      </w:pPr>
      <w:r w:rsidDel="00000000" w:rsidR="00000000" w:rsidRPr="00000000">
        <w:rPr>
          <w:rtl w:val="0"/>
        </w:rPr>
        <w:t xml:space="preserve">Андрєєнкова, В. Л., Войцях, Т. В., Гриців, І. П., Мельничук, В. О., Сабліна, Н. О., Флярковська, О. В., &amp; Харьківська, Т. А. (2023). </w:t>
      </w:r>
      <w:r w:rsidDel="00000000" w:rsidR="00000000" w:rsidRPr="00000000">
        <w:rPr>
          <w:i w:val="1"/>
          <w:iCs w:val="1"/>
          <w:rtl w:val="0"/>
        </w:rPr>
        <w:t xml:space="preserve">Психосоціальна підтримка учасників освітнього процесу: Навчально-методичний посібник</w:t>
      </w:r>
      <w:r w:rsidDel="00000000" w:rsidR="00000000" w:rsidRPr="00000000">
        <w:rPr>
          <w:rtl w:val="0"/>
        </w:rPr>
        <w:t xml:space="preserve">. К. URL: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http://surl.li/juzzul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2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Всеукраїнська програма ментального здоров’я «Ти як?». (б.д.). URL: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https://howareu.com/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2"/>
        </w:numPr>
        <w:spacing w:after="0" w:line="276" w:lineRule="auto"/>
        <w:ind w:left="720" w:hanging="360"/>
        <w:rPr/>
      </w:pPr>
      <w:r w:rsidDel="00000000" w:rsidR="00000000" w:rsidRPr="00000000">
        <w:rPr>
          <w:i w:val="1"/>
          <w:iCs w:val="1"/>
          <w:rtl w:val="0"/>
        </w:rPr>
        <w:t xml:space="preserve">Довідник безбар’єрності</w:t>
      </w:r>
      <w:r w:rsidDel="00000000" w:rsidR="00000000" w:rsidRPr="00000000">
        <w:rPr>
          <w:rtl w:val="0"/>
        </w:rPr>
        <w:t xml:space="preserve">. (б. д.). URL: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https://bf.in.ua/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0"/>
          <w:numId w:val="2"/>
        </w:numPr>
        <w:spacing w:after="0" w:line="276" w:lineRule="auto"/>
        <w:ind w:left="720" w:hanging="360"/>
        <w:rPr/>
      </w:pPr>
      <w:r w:rsidDel="00000000" w:rsidR="00000000" w:rsidRPr="00000000">
        <w:rPr>
          <w:i w:val="1"/>
          <w:iCs w:val="1"/>
          <w:rtl w:val="0"/>
        </w:rPr>
        <w:t xml:space="preserve">Застосування травма-інформованого підходу в заходах моніторингу, оцінки, досліджень та навчання</w:t>
      </w:r>
      <w:r w:rsidDel="00000000" w:rsidR="00000000" w:rsidRPr="00000000">
        <w:rPr>
          <w:rtl w:val="0"/>
        </w:rPr>
        <w:t xml:space="preserve">. (2023). URL:</w:t>
      </w: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 </w:t>
        </w:r>
      </w:hyperlink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https://makingcents.com/wp-content/uploads/2023/12/UKR-UNITY-Trauma-Informed-MERL-Learning-Brief.pdf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Pillay, R., Mkwananzi, S., &amp; Moonsamy, S. (2023). </w:t>
      </w:r>
      <w:r w:rsidDel="00000000" w:rsidR="00000000" w:rsidRPr="00000000">
        <w:rPr>
          <w:i w:val="1"/>
          <w:iCs w:val="1"/>
          <w:rtl w:val="0"/>
        </w:rPr>
        <w:t xml:space="preserve">Transforming teaching and learning experiences for helping professions in higher education: Global perspectives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  <w:t xml:space="preserve"> Brill.</w:t>
      </w:r>
    </w:p>
    <w:p w:rsidR="00000000" w:rsidDel="00000000" w:rsidP="00000000" w:rsidRDefault="00000000" w:rsidRPr="00000000" w14:paraId="000000F9">
      <w:pPr>
        <w:numPr>
          <w:ilvl w:val="0"/>
          <w:numId w:val="2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Smyrnova-Trybulska, E., Chen, N., Kommers, P., &amp; Morze, N. (2025). </w:t>
      </w:r>
      <w:r w:rsidDel="00000000" w:rsidR="00000000" w:rsidRPr="00000000">
        <w:rPr>
          <w:i w:val="1"/>
          <w:iCs w:val="1"/>
          <w:rtl w:val="0"/>
        </w:rPr>
        <w:t xml:space="preserve">E-Learning and enhancing soft skills: Contemporary models of education in the era of artificial intelligence.</w:t>
      </w:r>
      <w:r w:rsidDel="00000000" w:rsidR="00000000" w:rsidRPr="00000000">
        <w:rPr>
          <w:rtl w:val="0"/>
        </w:rPr>
        <w:t xml:space="preserve"> Springer Nature.</w:t>
      </w:r>
    </w:p>
    <w:sectPr>
      <w:type w:val="continuous"/>
      <w:pgSz w:h="16834" w:w="11909" w:orient="portrait"/>
      <w:pgMar w:bottom="850" w:top="850" w:left="1700.7874015748032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Courier New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36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bCs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surl.li/juzzul" TargetMode="External"/><Relationship Id="rId10" Type="http://schemas.openxmlformats.org/officeDocument/2006/relationships/footer" Target="footer2.xml"/><Relationship Id="rId13" Type="http://schemas.openxmlformats.org/officeDocument/2006/relationships/hyperlink" Target="https://howareu.com/" TargetMode="External"/><Relationship Id="rId12" Type="http://schemas.openxmlformats.org/officeDocument/2006/relationships/hyperlink" Target="https://howareu.com/?utm_source=chatgpt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15" Type="http://schemas.openxmlformats.org/officeDocument/2006/relationships/hyperlink" Target="https://makingcents.com/wp-content/uploads/2023/12/UKR-UNITY-Trauma-Informed-MERL-Learning-Brief.pdf?utm_source=chatgpt.com" TargetMode="External"/><Relationship Id="rId14" Type="http://schemas.openxmlformats.org/officeDocument/2006/relationships/hyperlink" Target="https://bf.in.ua/?utm_source=chatgpt.com" TargetMode="External"/><Relationship Id="rId16" Type="http://schemas.openxmlformats.org/officeDocument/2006/relationships/hyperlink" Target="https://makingcents.com/wp-content/uploads/2023/12/UKR-UNITY-Trauma-Informed-MERL-Learning-Brief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OexoikguKo4mVA4VKBUQKgZ4FA==">CgMxLjAyDmguZDJlOHJ6N3Jscm4zMg5oLm1sN3JjcGUzY3FwZTIOaC5ob2h3eXo1YWVsdGYyDmgucnc1YnhjN2IzamJlMg5oLjIxc3VkMmxrajJydzgAciExblpQWE5JalZtR0dndUdMb1UyMXl1YldBVXI4LS1CcDI=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